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eastAsia="FreeSerif" w:cs="FreeSerif"/>
          <w:szCs w:val="28"/>
        </w:rPr>
        <w:t xml:space="preserve">3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УТВЕРЖДЕН</w:t>
      </w:r>
      <w:r>
        <w:rPr>
          <w:rFonts w:ascii="FreeSerif" w:hAnsi="FreeSerif" w:eastAsia="FreeSerif" w:cs="FreeSerif"/>
          <w:szCs w:val="28"/>
        </w:rPr>
        <w:t xml:space="preserve">А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решением Совета 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eastAsia="FreeSerif" w:cs="FreeSerif"/>
          <w:szCs w:val="28"/>
        </w:rPr>
        <w:t xml:space="preserve">Ленинградский муниципальный округ Краснодарского края</w:t>
      </w:r>
      <w:bookmarkEnd w:id="0"/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4395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</w:t>
      </w:r>
      <w:r>
        <w:rPr>
          <w:rFonts w:ascii="FreeSerif" w:hAnsi="FreeSerif" w:eastAsia="FreeSerif" w:cs="FreeSerif"/>
          <w:szCs w:val="28"/>
        </w:rPr>
        <w:t xml:space="preserve"> 25.12.2025 г.</w:t>
      </w:r>
      <w:r>
        <w:rPr>
          <w:rFonts w:ascii="FreeSerif" w:hAnsi="FreeSerif" w:eastAsia="FreeSerif" w:cs="FreeSerif"/>
          <w:szCs w:val="28"/>
        </w:rPr>
        <w:t xml:space="preserve"> №</w:t>
      </w:r>
      <w:r>
        <w:rPr>
          <w:rFonts w:ascii="FreeSerif" w:hAnsi="FreeSerif" w:eastAsia="FreeSerif" w:cs="FreeSerif"/>
          <w:szCs w:val="28"/>
        </w:rPr>
        <w:t xml:space="preserve"> </w:t>
      </w:r>
      <w:r>
        <w:rPr>
          <w:rFonts w:ascii="FreeSerif" w:hAnsi="FreeSerif" w:cs="FreeSerif"/>
          <w:szCs w:val="28"/>
        </w:rPr>
        <w:t xml:space="preserve">140</w:t>
      </w:r>
      <w:r>
        <w:rPr>
          <w:rFonts w:ascii="FreeSerif" w:hAnsi="FreeSerif" w:cs="FreeSerif"/>
          <w:szCs w:val="28"/>
        </w:rPr>
      </w:r>
    </w:p>
    <w:p>
      <w:pPr>
        <w:ind w:left="4395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ind w:left="4395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Программа муниципальных в</w:t>
      </w:r>
      <w:r>
        <w:rPr>
          <w:rFonts w:ascii="FreeSerif" w:hAnsi="FreeSerif" w:eastAsia="FreeSerif" w:cs="FreeSerif"/>
        </w:rPr>
        <w:t xml:space="preserve">нешних</w:t>
      </w:r>
      <w:r>
        <w:rPr>
          <w:rFonts w:ascii="FreeSerif" w:hAnsi="FreeSerif" w:eastAsia="FreeSerif" w:cs="FreeSerif"/>
        </w:rPr>
        <w:t xml:space="preserve"> заимствований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на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</w:t>
      </w:r>
      <w:r>
        <w:rPr>
          <w:rFonts w:ascii="FreeSerif" w:hAnsi="FreeSerif" w:eastAsia="FreeSerif" w:cs="FreeSerif"/>
        </w:rPr>
        <w:t xml:space="preserve"> плановый период </w:t>
      </w:r>
      <w:r>
        <w:rPr>
          <w:rFonts w:ascii="FreeSerif" w:hAnsi="FreeSerif" w:eastAsia="FreeSerif" w:cs="FreeSerif"/>
        </w:rPr>
        <w:t xml:space="preserve">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 202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год</w:t>
      </w:r>
      <w:r>
        <w:rPr>
          <w:rFonts w:ascii="FreeSerif" w:hAnsi="FreeSerif" w:eastAsia="FreeSerif" w:cs="FreeSerif"/>
        </w:rPr>
        <w:t xml:space="preserve">ы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16"/>
              </w:rPr>
            </w:pPr>
            <w:r>
              <w:rPr>
                <w:rFonts w:ascii="FreeSerif" w:hAnsi="FreeSerif" w:eastAsia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</w:p>
        </w:tc>
      </w:tr>
    </w:tbl>
    <w:p>
      <w:pPr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  <w:r>
        <w:rPr>
          <w:rFonts w:ascii="FreeSerif" w:hAnsi="FreeSerif" w:cs="FreeSerif"/>
          <w:sz w:val="2"/>
        </w:rPr>
      </w:r>
    </w:p>
    <w:tbl>
      <w:tblPr>
        <w:tblW w:w="9639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6506"/>
        <w:gridCol w:w="850"/>
        <w:gridCol w:w="850"/>
        <w:gridCol w:w="851"/>
      </w:tblGrid>
      <w:tr>
        <w:tblPrEx/>
        <w:trPr>
          <w:trHeight w:val="70"/>
          <w:tblHeader/>
        </w:trPr>
        <w:tc>
          <w:tcPr>
            <w:tcW w:w="58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W w:w="2551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(тыс.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рублей)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582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Муниципальные ценные бумаги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обязательства по которым выражены в иностранной валюте,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</w:rPr>
            </w:r>
            <w:bookmarkStart w:id="1" w:name="_GoBack"/>
            <w:r>
              <w:rPr>
                <w:rFonts w:ascii="FreeSerif" w:hAnsi="FreeSerif" w:eastAsia="FreeSerif" w:cs="FreeSerif"/>
              </w:rPr>
            </w:r>
            <w:bookmarkEnd w:id="1"/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етные кредиты, привлеченные в бюджет муниципального образования Ленинградский муниципальный округ Краснодарского края от других бюджетов бюджетной системы Российской Федерации, в иностранной валюте в рамках использования целевых иностранных кредитов,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Кредиты, привлеченные в бюджет муниципального образования Ленинградский муниципальный округ Краснодарского края от международных финансовых организаций и иностранных банков, обязательства по которым выражены в иностранной валюте,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582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6506" w:type="dxa"/>
            <w:vAlign w:val="center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85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widowControl w:val="off"/>
        <w:rPr>
          <w:rFonts w:ascii="FreeSerif" w:hAnsi="FreeSerif" w:cs="FreeSerif"/>
          <w:sz w:val="18"/>
          <w:szCs w:val="18"/>
        </w:rPr>
      </w:pPr>
      <w:r>
        <w:rPr>
          <w:rFonts w:ascii="FreeSerif" w:hAnsi="FreeSerif" w:eastAsia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Заместитель главы </w:t>
      </w:r>
      <w:r>
        <w:rPr>
          <w:rFonts w:ascii="FreeSerif" w:hAnsi="FreeSerif" w:cs="FreeSerif"/>
          <w:color w:val="000000"/>
          <w:szCs w:val="28"/>
        </w:rPr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color w:val="000000"/>
          <w:szCs w:val="28"/>
        </w:rPr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color w:val="000000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color w:val="000000"/>
          <w:szCs w:val="28"/>
        </w:rPr>
      </w:r>
      <w:r>
        <w:rPr>
          <w:rFonts w:ascii="FreeSerif" w:hAnsi="FreeSerif" w:cs="FreeSerif"/>
          <w:color w:val="000000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color w:val="000000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color w:val="000000"/>
          <w:szCs w:val="28"/>
        </w:rPr>
        <w:t xml:space="preserve">Тертица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jc w:val="both"/>
    </w:pPr>
    <w:rPr>
      <w:sz w:val="28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9F0022-CF7F-4047-87FE-6E2FB5B1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10</cp:revision>
  <dcterms:created xsi:type="dcterms:W3CDTF">2024-12-17T11:12:00Z</dcterms:created>
  <dcterms:modified xsi:type="dcterms:W3CDTF">2025-12-26T13:18:05Z</dcterms:modified>
</cp:coreProperties>
</file>